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62F" w:rsidRPr="000E1B88" w:rsidRDefault="0074762F" w:rsidP="0074762F">
      <w:pPr>
        <w:rPr>
          <w:rFonts w:ascii="Times New Roman" w:hAnsi="Times New Roman" w:cs="Times New Roman"/>
        </w:rPr>
      </w:pPr>
      <w:bookmarkStart w:id="0" w:name="_GoBack"/>
      <w:bookmarkEnd w:id="0"/>
    </w:p>
    <w:p w:rsidR="0074762F" w:rsidRPr="000E1B88" w:rsidRDefault="0074762F" w:rsidP="0074762F">
      <w:pPr>
        <w:rPr>
          <w:rFonts w:ascii="Times New Roman" w:hAnsi="Times New Roman" w:cs="Times New Roman"/>
        </w:rPr>
      </w:pPr>
    </w:p>
    <w:p w:rsidR="00636FB1" w:rsidRPr="000E1B88" w:rsidRDefault="00B40DEE" w:rsidP="0074762F">
      <w:pPr>
        <w:rPr>
          <w:rFonts w:ascii="Times New Roman" w:hAnsi="Times New Roman" w:cs="Times New Roman"/>
        </w:rPr>
      </w:pPr>
      <w:r w:rsidRPr="000E1B88">
        <w:rPr>
          <w:rFonts w:ascii="Times New Roman" w:hAnsi="Times New Roman" w:cs="Times New Roman"/>
        </w:rPr>
        <w:t>December 1</w:t>
      </w:r>
      <w:r w:rsidR="005E1427">
        <w:rPr>
          <w:rFonts w:ascii="Times New Roman" w:hAnsi="Times New Roman" w:cs="Times New Roman"/>
        </w:rPr>
        <w:t>8</w:t>
      </w:r>
      <w:r w:rsidR="00636FB1" w:rsidRPr="000E1B88">
        <w:rPr>
          <w:rFonts w:ascii="Times New Roman" w:hAnsi="Times New Roman" w:cs="Times New Roman"/>
        </w:rPr>
        <w:t>, 2015</w:t>
      </w:r>
    </w:p>
    <w:p w:rsidR="00636FB1" w:rsidRPr="000E1B88" w:rsidRDefault="00636FB1" w:rsidP="0074762F">
      <w:pPr>
        <w:rPr>
          <w:rFonts w:ascii="Times New Roman" w:hAnsi="Times New Roman" w:cs="Times New Roman"/>
        </w:rPr>
      </w:pPr>
    </w:p>
    <w:p w:rsidR="008A1D72" w:rsidRPr="000E1B88" w:rsidRDefault="008A1D72" w:rsidP="0074762F">
      <w:pPr>
        <w:rPr>
          <w:rFonts w:ascii="Times New Roman" w:hAnsi="Times New Roman" w:cs="Times New Roman"/>
        </w:rPr>
      </w:pPr>
    </w:p>
    <w:p w:rsidR="00003A83" w:rsidRPr="000E1B88" w:rsidRDefault="008A1D72" w:rsidP="0074762F">
      <w:pPr>
        <w:rPr>
          <w:rFonts w:ascii="Times New Roman" w:hAnsi="Times New Roman" w:cs="Times New Roman"/>
        </w:rPr>
      </w:pPr>
      <w:r w:rsidRPr="000E1B88">
        <w:rPr>
          <w:rFonts w:ascii="Times New Roman" w:hAnsi="Times New Roman" w:cs="Times New Roman"/>
        </w:rPr>
        <w:t>Mr. Thomas O’Brien</w:t>
      </w:r>
    </w:p>
    <w:p w:rsidR="008A1D72" w:rsidRPr="000E1B88" w:rsidRDefault="008A1D72" w:rsidP="0074762F">
      <w:pPr>
        <w:pStyle w:val="Header"/>
        <w:rPr>
          <w:rFonts w:ascii="Times New Roman" w:hAnsi="Times New Roman" w:cs="Times New Roman"/>
        </w:rPr>
      </w:pPr>
      <w:r w:rsidRPr="000E1B88">
        <w:rPr>
          <w:rFonts w:ascii="Times New Roman" w:hAnsi="Times New Roman" w:cs="Times New Roman"/>
        </w:rPr>
        <w:t>The HYM Investment Group, LLC</w:t>
      </w:r>
    </w:p>
    <w:p w:rsidR="008A1D72" w:rsidRPr="000E1B88" w:rsidRDefault="008A1D72" w:rsidP="0074762F">
      <w:pPr>
        <w:pStyle w:val="Header"/>
        <w:rPr>
          <w:rFonts w:ascii="Times New Roman" w:hAnsi="Times New Roman" w:cs="Times New Roman"/>
        </w:rPr>
      </w:pPr>
      <w:proofErr w:type="gramStart"/>
      <w:r w:rsidRPr="000E1B88">
        <w:rPr>
          <w:rFonts w:ascii="Times New Roman" w:hAnsi="Times New Roman" w:cs="Times New Roman"/>
        </w:rPr>
        <w:t>on</w:t>
      </w:r>
      <w:proofErr w:type="gramEnd"/>
      <w:r w:rsidRPr="000E1B88">
        <w:rPr>
          <w:rFonts w:ascii="Times New Roman" w:hAnsi="Times New Roman" w:cs="Times New Roman"/>
        </w:rPr>
        <w:t xml:space="preserve"> behalf of Bulfinch Congress Holdings, LLC</w:t>
      </w:r>
    </w:p>
    <w:p w:rsidR="008A1D72" w:rsidRPr="000E1B88" w:rsidRDefault="008A1D72" w:rsidP="0074762F">
      <w:pPr>
        <w:pStyle w:val="Header"/>
        <w:rPr>
          <w:rFonts w:ascii="Times New Roman" w:hAnsi="Times New Roman" w:cs="Times New Roman"/>
        </w:rPr>
      </w:pPr>
      <w:r w:rsidRPr="000E1B88">
        <w:rPr>
          <w:rFonts w:ascii="Times New Roman" w:hAnsi="Times New Roman" w:cs="Times New Roman"/>
        </w:rPr>
        <w:t xml:space="preserve">One Congress Street, 10th Floor </w:t>
      </w:r>
    </w:p>
    <w:p w:rsidR="00F946C4" w:rsidRPr="000E1B88" w:rsidRDefault="008A1D72" w:rsidP="0074762F">
      <w:pPr>
        <w:pStyle w:val="Header"/>
        <w:rPr>
          <w:rFonts w:ascii="Times New Roman" w:hAnsi="Times New Roman" w:cs="Times New Roman"/>
        </w:rPr>
      </w:pPr>
      <w:r w:rsidRPr="000E1B88">
        <w:rPr>
          <w:rFonts w:ascii="Times New Roman" w:hAnsi="Times New Roman" w:cs="Times New Roman"/>
        </w:rPr>
        <w:t>Boston, MA 02114</w:t>
      </w:r>
    </w:p>
    <w:p w:rsidR="00636FB1" w:rsidRPr="000E1B88" w:rsidRDefault="00636FB1" w:rsidP="0074762F">
      <w:pPr>
        <w:pStyle w:val="Header"/>
        <w:rPr>
          <w:rFonts w:ascii="Times New Roman" w:hAnsi="Times New Roman" w:cs="Times New Roman"/>
        </w:rPr>
      </w:pPr>
    </w:p>
    <w:p w:rsidR="0074762F" w:rsidRPr="000E1B88" w:rsidRDefault="0074762F" w:rsidP="0074762F">
      <w:pPr>
        <w:rPr>
          <w:rFonts w:ascii="Times New Roman" w:hAnsi="Times New Roman" w:cs="Times New Roman"/>
        </w:rPr>
      </w:pPr>
      <w:r w:rsidRPr="000E1B88">
        <w:rPr>
          <w:rFonts w:ascii="Times New Roman" w:hAnsi="Times New Roman" w:cs="Times New Roman"/>
        </w:rPr>
        <w:t>Re:</w:t>
      </w:r>
      <w:r w:rsidRPr="000E1B88">
        <w:rPr>
          <w:rFonts w:ascii="Times New Roman" w:hAnsi="Times New Roman" w:cs="Times New Roman"/>
        </w:rPr>
        <w:tab/>
      </w:r>
      <w:r w:rsidR="008A1D72" w:rsidRPr="000E1B88">
        <w:rPr>
          <w:rFonts w:ascii="Times New Roman" w:hAnsi="Times New Roman" w:cs="Times New Roman"/>
        </w:rPr>
        <w:t>Redevelopment of the Government Center Garage –WP-B1</w:t>
      </w:r>
      <w:r w:rsidR="00551BD1">
        <w:rPr>
          <w:rFonts w:ascii="Times New Roman" w:hAnsi="Times New Roman" w:cs="Times New Roman"/>
        </w:rPr>
        <w:t>,</w:t>
      </w:r>
      <w:r w:rsidR="008A1D72" w:rsidRPr="000E1B88">
        <w:rPr>
          <w:rFonts w:ascii="Times New Roman" w:hAnsi="Times New Roman" w:cs="Times New Roman"/>
        </w:rPr>
        <w:t xml:space="preserve"> Residential Building </w:t>
      </w:r>
    </w:p>
    <w:p w:rsidR="0074762F" w:rsidRPr="000E1B88" w:rsidRDefault="0074762F" w:rsidP="0074762F">
      <w:pPr>
        <w:ind w:firstLine="720"/>
        <w:rPr>
          <w:rFonts w:ascii="Times New Roman" w:hAnsi="Times New Roman" w:cs="Times New Roman"/>
        </w:rPr>
      </w:pPr>
      <w:r w:rsidRPr="000E1B88">
        <w:rPr>
          <w:rFonts w:ascii="Times New Roman" w:hAnsi="Times New Roman" w:cs="Times New Roman"/>
        </w:rPr>
        <w:t>Article 37 Boston Zoning Code, Green Buildings</w:t>
      </w:r>
    </w:p>
    <w:p w:rsidR="0074762F" w:rsidRPr="000E1B88" w:rsidRDefault="0074762F" w:rsidP="0074762F">
      <w:pPr>
        <w:rPr>
          <w:rFonts w:ascii="Times New Roman" w:hAnsi="Times New Roman" w:cs="Times New Roman"/>
        </w:rPr>
      </w:pPr>
    </w:p>
    <w:p w:rsidR="0074762F" w:rsidRPr="000E1B88" w:rsidRDefault="0074762F" w:rsidP="0074762F">
      <w:pPr>
        <w:rPr>
          <w:rFonts w:ascii="Times New Roman" w:hAnsi="Times New Roman" w:cs="Times New Roman"/>
        </w:rPr>
      </w:pPr>
    </w:p>
    <w:p w:rsidR="0074762F" w:rsidRPr="000E1B88" w:rsidRDefault="000772C1" w:rsidP="0074762F">
      <w:pPr>
        <w:rPr>
          <w:rFonts w:ascii="Times New Roman" w:hAnsi="Times New Roman" w:cs="Times New Roman"/>
        </w:rPr>
      </w:pPr>
      <w:r w:rsidRPr="000E1B88">
        <w:rPr>
          <w:rFonts w:ascii="Times New Roman" w:hAnsi="Times New Roman" w:cs="Times New Roman"/>
        </w:rPr>
        <w:t xml:space="preserve">Dear </w:t>
      </w:r>
      <w:r w:rsidR="00671548" w:rsidRPr="000E1B88">
        <w:rPr>
          <w:rFonts w:ascii="Times New Roman" w:hAnsi="Times New Roman" w:cs="Times New Roman"/>
        </w:rPr>
        <w:t xml:space="preserve">Mr. </w:t>
      </w:r>
      <w:r w:rsidR="008A1D72" w:rsidRPr="000E1B88">
        <w:rPr>
          <w:rFonts w:ascii="Times New Roman" w:hAnsi="Times New Roman" w:cs="Times New Roman"/>
        </w:rPr>
        <w:t>O’Brien</w:t>
      </w:r>
      <w:r w:rsidR="0074762F" w:rsidRPr="000E1B88">
        <w:rPr>
          <w:rFonts w:ascii="Times New Roman" w:hAnsi="Times New Roman" w:cs="Times New Roman"/>
        </w:rPr>
        <w:t>:</w:t>
      </w:r>
    </w:p>
    <w:p w:rsidR="0074762F" w:rsidRPr="000E1B88" w:rsidRDefault="0074762F" w:rsidP="0074762F">
      <w:pPr>
        <w:pStyle w:val="List0"/>
        <w:numPr>
          <w:ilvl w:val="0"/>
          <w:numId w:val="0"/>
        </w:numPr>
        <w:rPr>
          <w:sz w:val="22"/>
          <w:szCs w:val="22"/>
        </w:rPr>
      </w:pPr>
    </w:p>
    <w:p w:rsidR="003A39FD" w:rsidRPr="000E1B88" w:rsidRDefault="003A39FD" w:rsidP="003A39FD">
      <w:pPr>
        <w:autoSpaceDE/>
        <w:autoSpaceDN/>
        <w:adjustRightInd/>
        <w:rPr>
          <w:rFonts w:ascii="Times New Roman" w:eastAsia="Times New Roman" w:hAnsi="Times New Roman" w:cs="Times New Roman"/>
        </w:rPr>
      </w:pPr>
      <w:r w:rsidRPr="000E1B88">
        <w:rPr>
          <w:rFonts w:ascii="Times New Roman" w:eastAsia="Times New Roman" w:hAnsi="Times New Roman" w:cs="Times New Roman"/>
        </w:rPr>
        <w:t>The Boston Interagency Green Building Committee (IGBC) has reviewed for compliance with Boston Zoning Article 37, Green Buildings the Expanded Project Notification Form (</w:t>
      </w:r>
      <w:r w:rsidR="00C765E6">
        <w:rPr>
          <w:rFonts w:ascii="Times New Roman" w:eastAsia="Times New Roman" w:hAnsi="Times New Roman" w:cs="Times New Roman"/>
        </w:rPr>
        <w:t>E</w:t>
      </w:r>
      <w:r w:rsidRPr="000E1B88">
        <w:rPr>
          <w:rFonts w:ascii="Times New Roman" w:eastAsia="Times New Roman" w:hAnsi="Times New Roman" w:cs="Times New Roman"/>
        </w:rPr>
        <w:t>PNF) submitted on October 2, 2015, which includes a LEED checklist, a Sustainability Narrative and Climate Change Preparedness and Resiliency Checklist.</w:t>
      </w:r>
    </w:p>
    <w:p w:rsidR="003A39FD" w:rsidRPr="000E1B88" w:rsidRDefault="003A39FD" w:rsidP="003A39FD">
      <w:pPr>
        <w:autoSpaceDE/>
        <w:autoSpaceDN/>
        <w:adjustRightInd/>
        <w:outlineLvl w:val="0"/>
        <w:rPr>
          <w:rFonts w:ascii="Times New Roman" w:hAnsi="Times New Roman" w:cs="Times New Roman"/>
          <w:color w:val="000000"/>
        </w:rPr>
      </w:pPr>
    </w:p>
    <w:p w:rsidR="003A39FD" w:rsidRPr="000E1B88" w:rsidRDefault="003A39FD" w:rsidP="003A39FD">
      <w:pPr>
        <w:rPr>
          <w:rFonts w:ascii="Times New Roman" w:eastAsia="Times New Roman" w:hAnsi="Times New Roman" w:cs="Times New Roman"/>
        </w:rPr>
      </w:pPr>
      <w:r w:rsidRPr="000E1B88">
        <w:rPr>
          <w:rFonts w:ascii="Times New Roman" w:eastAsia="Times New Roman" w:hAnsi="Times New Roman" w:cs="Times New Roman"/>
        </w:rPr>
        <w:t xml:space="preserve">The EPNF indicates that the project, now in the design stage, will use the </w:t>
      </w:r>
      <w:r w:rsidRPr="000E1B88">
        <w:rPr>
          <w:rFonts w:ascii="Times New Roman" w:eastAsia="Times New Roman" w:hAnsi="Times New Roman" w:cs="Times New Roman"/>
          <w:color w:val="000000"/>
        </w:rPr>
        <w:t xml:space="preserve">LEED 2009 for New Construction and Major Renovations </w:t>
      </w:r>
      <w:r w:rsidRPr="000E1B88">
        <w:rPr>
          <w:rFonts w:ascii="Times New Roman" w:eastAsia="Times New Roman" w:hAnsi="Times New Roman" w:cs="Times New Roman"/>
        </w:rPr>
        <w:t xml:space="preserve">rating system and shows the intent to achieve LEED Gold with 71 points.  The IGBC accepts the LEED Rating System selection and encourages the Proponent to continue to pursue additional credits and strive to achieve LEED Platinum.  </w:t>
      </w:r>
    </w:p>
    <w:p w:rsidR="00E16A11" w:rsidRPr="000E1B88" w:rsidRDefault="00E16A11" w:rsidP="00636FB1">
      <w:pPr>
        <w:pStyle w:val="Default"/>
        <w:rPr>
          <w:rFonts w:ascii="Times New Roman" w:hAnsi="Times New Roman" w:cs="Times New Roman"/>
          <w:color w:val="auto"/>
          <w:sz w:val="22"/>
          <w:szCs w:val="22"/>
        </w:rPr>
      </w:pPr>
    </w:p>
    <w:p w:rsidR="00E16A11" w:rsidRPr="000E1B88" w:rsidRDefault="00E16A11" w:rsidP="00636FB1">
      <w:pPr>
        <w:pStyle w:val="Default"/>
        <w:rPr>
          <w:rFonts w:ascii="Times New Roman" w:hAnsi="Times New Roman" w:cs="Times New Roman"/>
          <w:b/>
          <w:sz w:val="22"/>
          <w:szCs w:val="22"/>
        </w:rPr>
      </w:pPr>
      <w:r w:rsidRPr="000E1B88">
        <w:rPr>
          <w:rFonts w:ascii="Times New Roman" w:hAnsi="Times New Roman" w:cs="Times New Roman"/>
          <w:color w:val="auto"/>
          <w:sz w:val="22"/>
          <w:szCs w:val="22"/>
        </w:rPr>
        <w:t>The sustainability narrative states that the project is striving to achieve a</w:t>
      </w:r>
      <w:r w:rsidR="00103C6E" w:rsidRPr="000E1B88">
        <w:rPr>
          <w:rFonts w:ascii="Times New Roman" w:hAnsi="Times New Roman" w:cs="Times New Roman"/>
          <w:color w:val="auto"/>
          <w:sz w:val="22"/>
          <w:szCs w:val="22"/>
        </w:rPr>
        <w:t>n energy cost savings of</w:t>
      </w:r>
      <w:r w:rsidRPr="000E1B88">
        <w:rPr>
          <w:rFonts w:ascii="Times New Roman" w:hAnsi="Times New Roman" w:cs="Times New Roman"/>
          <w:color w:val="auto"/>
          <w:sz w:val="22"/>
          <w:szCs w:val="22"/>
        </w:rPr>
        <w:t xml:space="preserve"> 14% </w:t>
      </w:r>
      <w:r w:rsidR="00103C6E" w:rsidRPr="000E1B88">
        <w:rPr>
          <w:rFonts w:ascii="Times New Roman" w:hAnsi="Times New Roman" w:cs="Times New Roman"/>
          <w:color w:val="auto"/>
          <w:sz w:val="22"/>
          <w:szCs w:val="22"/>
        </w:rPr>
        <w:t>(</w:t>
      </w:r>
      <w:r w:rsidRPr="000E1B88">
        <w:rPr>
          <w:rFonts w:ascii="Times New Roman" w:hAnsi="Times New Roman" w:cs="Times New Roman"/>
          <w:color w:val="auto"/>
          <w:sz w:val="22"/>
          <w:szCs w:val="22"/>
        </w:rPr>
        <w:t>Energy and Atmosphere Credit 1</w:t>
      </w:r>
      <w:r w:rsidR="00103C6E" w:rsidRPr="000E1B88">
        <w:rPr>
          <w:rFonts w:ascii="Times New Roman" w:hAnsi="Times New Roman" w:cs="Times New Roman"/>
          <w:color w:val="auto"/>
          <w:sz w:val="22"/>
          <w:szCs w:val="22"/>
        </w:rPr>
        <w:t xml:space="preserve">) however, </w:t>
      </w:r>
      <w:r w:rsidRPr="000E1B88">
        <w:rPr>
          <w:rFonts w:ascii="Times New Roman" w:hAnsi="Times New Roman" w:cs="Times New Roman"/>
          <w:color w:val="auto"/>
          <w:sz w:val="22"/>
          <w:szCs w:val="22"/>
        </w:rPr>
        <w:t xml:space="preserve">the LEED Checklist </w:t>
      </w:r>
      <w:r w:rsidR="00103C6E" w:rsidRPr="000E1B88">
        <w:rPr>
          <w:rFonts w:ascii="Times New Roman" w:hAnsi="Times New Roman" w:cs="Times New Roman"/>
          <w:color w:val="auto"/>
          <w:sz w:val="22"/>
          <w:szCs w:val="22"/>
        </w:rPr>
        <w:t>reflects an energy cost savings of 16% (3 points)</w:t>
      </w:r>
      <w:r w:rsidR="003A39FD" w:rsidRPr="000E1B88">
        <w:rPr>
          <w:rFonts w:ascii="Times New Roman" w:hAnsi="Times New Roman" w:cs="Times New Roman"/>
          <w:color w:val="auto"/>
          <w:sz w:val="22"/>
          <w:szCs w:val="22"/>
        </w:rPr>
        <w:t>. P</w:t>
      </w:r>
      <w:r w:rsidR="00103C6E" w:rsidRPr="000E1B88">
        <w:rPr>
          <w:rFonts w:ascii="Times New Roman" w:hAnsi="Times New Roman" w:cs="Times New Roman"/>
          <w:color w:val="auto"/>
          <w:sz w:val="22"/>
          <w:szCs w:val="22"/>
        </w:rPr>
        <w:t>lease clarify.</w:t>
      </w:r>
    </w:p>
    <w:p w:rsidR="00636FB1" w:rsidRPr="000E1B88" w:rsidRDefault="00636FB1" w:rsidP="0074762F">
      <w:pPr>
        <w:pStyle w:val="Body1"/>
        <w:rPr>
          <w:rFonts w:ascii="Times New Roman" w:hAnsi="Times New Roman"/>
          <w:szCs w:val="22"/>
        </w:rPr>
      </w:pPr>
    </w:p>
    <w:p w:rsidR="0074762F" w:rsidRPr="000E1B88" w:rsidRDefault="0074762F" w:rsidP="0074762F">
      <w:pPr>
        <w:pStyle w:val="Body1"/>
        <w:rPr>
          <w:rFonts w:ascii="Times New Roman" w:hAnsi="Times New Roman"/>
          <w:szCs w:val="22"/>
        </w:rPr>
      </w:pPr>
      <w:r w:rsidRPr="000E1B88">
        <w:rPr>
          <w:rFonts w:ascii="Times New Roman" w:hAnsi="Times New Roman"/>
          <w:szCs w:val="22"/>
        </w:rPr>
        <w:t>In support of the City of Boston's Greenhouse (GHG) emissions reduction goals, the IGBC requests that:</w:t>
      </w:r>
    </w:p>
    <w:p w:rsidR="0074762F" w:rsidRPr="000E1B88" w:rsidRDefault="0074762F" w:rsidP="00C156AC">
      <w:pPr>
        <w:pStyle w:val="ListParagraph"/>
        <w:numPr>
          <w:ilvl w:val="0"/>
          <w:numId w:val="2"/>
        </w:numPr>
        <w:ind w:left="720"/>
        <w:rPr>
          <w:rFonts w:ascii="Times New Roman" w:hAnsi="Times New Roman" w:cs="Times New Roman"/>
        </w:rPr>
      </w:pPr>
      <w:r w:rsidRPr="000E1B88">
        <w:rPr>
          <w:rFonts w:ascii="Times New Roman" w:hAnsi="Times New Roman" w:cs="Times New Roman"/>
        </w:rPr>
        <w:t>The project fully utilize utility and state-funded energy efficiency and clean/renewable energy programs to minimize energy use and adverse environmental impacts.</w:t>
      </w:r>
    </w:p>
    <w:p w:rsidR="0074762F" w:rsidRPr="000E1B88" w:rsidRDefault="0074762F" w:rsidP="00C156AC">
      <w:pPr>
        <w:pStyle w:val="ListParagraph"/>
        <w:numPr>
          <w:ilvl w:val="0"/>
          <w:numId w:val="2"/>
        </w:numPr>
        <w:ind w:left="720"/>
        <w:rPr>
          <w:rFonts w:ascii="Times New Roman" w:hAnsi="Times New Roman" w:cs="Times New Roman"/>
        </w:rPr>
      </w:pPr>
      <w:r w:rsidRPr="000E1B88">
        <w:rPr>
          <w:rFonts w:ascii="Times New Roman" w:hAnsi="Times New Roman" w:cs="Times New Roman"/>
        </w:rPr>
        <w:t>The project include strate</w:t>
      </w:r>
      <w:r w:rsidR="00291B4D" w:rsidRPr="000E1B88">
        <w:rPr>
          <w:rFonts w:ascii="Times New Roman" w:hAnsi="Times New Roman" w:cs="Times New Roman"/>
        </w:rPr>
        <w:t xml:space="preserve">gies to reduce </w:t>
      </w:r>
      <w:r w:rsidR="00003A83" w:rsidRPr="000E1B88">
        <w:rPr>
          <w:rFonts w:ascii="Times New Roman" w:hAnsi="Times New Roman" w:cs="Times New Roman"/>
        </w:rPr>
        <w:t>energy usage to 2</w:t>
      </w:r>
      <w:r w:rsidR="003A39FD" w:rsidRPr="000E1B88">
        <w:rPr>
          <w:rFonts w:ascii="Times New Roman" w:hAnsi="Times New Roman" w:cs="Times New Roman"/>
        </w:rPr>
        <w:t>1</w:t>
      </w:r>
      <w:r w:rsidRPr="000E1B88">
        <w:rPr>
          <w:rFonts w:ascii="Times New Roman" w:hAnsi="Times New Roman" w:cs="Times New Roman"/>
        </w:rPr>
        <w:t>% or more below the ASHRAE 90.1-2010 baseline including a feasibility study of viable renewable energy technologies and/or clean energy systems for the project.</w:t>
      </w:r>
      <w:r w:rsidR="00E16A11" w:rsidRPr="000E1B88">
        <w:rPr>
          <w:rFonts w:ascii="Times New Roman" w:hAnsi="Times New Roman" w:cs="Times New Roman"/>
        </w:rPr>
        <w:t xml:space="preserve">  </w:t>
      </w:r>
      <w:r w:rsidR="003A39FD" w:rsidRPr="000E1B88">
        <w:rPr>
          <w:rFonts w:ascii="Times New Roman" w:hAnsi="Times New Roman" w:cs="Times New Roman"/>
        </w:rPr>
        <w:t>These strategies and a feasibility report should be provided to the IGBC.</w:t>
      </w:r>
    </w:p>
    <w:p w:rsidR="0074762F" w:rsidRPr="000E1B88" w:rsidRDefault="0074762F" w:rsidP="00C156AC">
      <w:pPr>
        <w:pStyle w:val="ListParagraph"/>
        <w:numPr>
          <w:ilvl w:val="0"/>
          <w:numId w:val="2"/>
        </w:numPr>
        <w:ind w:left="720"/>
        <w:rPr>
          <w:rFonts w:ascii="Times New Roman" w:hAnsi="Times New Roman" w:cs="Times New Roman"/>
        </w:rPr>
      </w:pPr>
      <w:r w:rsidRPr="000E1B88">
        <w:rPr>
          <w:rFonts w:ascii="Times New Roman" w:hAnsi="Times New Roman" w:cs="Times New Roman"/>
        </w:rPr>
        <w:t>As planning proceeds, please provide through your BRA Project Manager your preliminary and then comprehensive energy modeling data and information on utility assistance and support, including technical assistance and building energy modeling, afforded to the project throughout the design process.</w:t>
      </w:r>
    </w:p>
    <w:p w:rsidR="00187EDE" w:rsidRPr="000E1B88" w:rsidRDefault="00187EDE" w:rsidP="00771D3B">
      <w:pPr>
        <w:rPr>
          <w:rFonts w:ascii="Times New Roman" w:hAnsi="Times New Roman" w:cs="Times New Roman"/>
        </w:rPr>
      </w:pPr>
    </w:p>
    <w:p w:rsidR="0050217C" w:rsidRPr="000E1B88" w:rsidRDefault="0050217C" w:rsidP="0074762F">
      <w:pPr>
        <w:pStyle w:val="Header"/>
        <w:rPr>
          <w:rFonts w:ascii="Times New Roman" w:hAnsi="Times New Roman" w:cs="Times New Roman"/>
        </w:rPr>
      </w:pPr>
      <w:r w:rsidRPr="000E1B88">
        <w:rPr>
          <w:rFonts w:ascii="Times New Roman" w:hAnsi="Times New Roman" w:cs="Times New Roman"/>
        </w:rPr>
        <w:t xml:space="preserve">For projections of sea level rise, the City of Boston currently relies on the 2013 report of the Massachusetts Office of Coastal Zone Management – </w:t>
      </w:r>
      <w:r w:rsidRPr="000E1B88">
        <w:rPr>
          <w:rFonts w:ascii="Times New Roman" w:hAnsi="Times New Roman" w:cs="Times New Roman"/>
          <w:i/>
        </w:rPr>
        <w:t>Sea Level Rise: Understanding</w:t>
      </w:r>
      <w:r w:rsidR="00CE2BD9" w:rsidRPr="000E1B88">
        <w:rPr>
          <w:rFonts w:ascii="Times New Roman" w:hAnsi="Times New Roman" w:cs="Times New Roman"/>
          <w:i/>
        </w:rPr>
        <w:t xml:space="preserve"> and Applying Trends and Future </w:t>
      </w:r>
      <w:r w:rsidR="00CE2BD9" w:rsidRPr="000E1B88">
        <w:rPr>
          <w:rFonts w:ascii="Times New Roman" w:hAnsi="Times New Roman" w:cs="Times New Roman"/>
          <w:i/>
        </w:rPr>
        <w:lastRenderedPageBreak/>
        <w:t xml:space="preserve">Scenarios for Analysis and Planning </w:t>
      </w:r>
      <w:r w:rsidR="00CE2BD9" w:rsidRPr="000E1B88">
        <w:rPr>
          <w:rFonts w:ascii="Times New Roman" w:hAnsi="Times New Roman" w:cs="Times New Roman"/>
        </w:rPr>
        <w:t>– and suggests at least the Intermediate High or High scenarios depending upon building use.</w:t>
      </w:r>
    </w:p>
    <w:p w:rsidR="0074762F" w:rsidRPr="000E1B88" w:rsidRDefault="0074762F" w:rsidP="0074762F">
      <w:pPr>
        <w:pStyle w:val="Header"/>
        <w:rPr>
          <w:rFonts w:ascii="Times New Roman" w:hAnsi="Times New Roman" w:cs="Times New Roman"/>
        </w:rPr>
      </w:pPr>
    </w:p>
    <w:p w:rsidR="0074762F" w:rsidRPr="000E1B88" w:rsidRDefault="0074762F" w:rsidP="0074762F">
      <w:pPr>
        <w:shd w:val="clear" w:color="auto" w:fill="FFFFFF"/>
        <w:rPr>
          <w:rFonts w:ascii="Times New Roman" w:hAnsi="Times New Roman" w:cs="Times New Roman"/>
          <w:color w:val="000000"/>
        </w:rPr>
      </w:pPr>
      <w:r w:rsidRPr="000E1B88">
        <w:rPr>
          <w:rFonts w:ascii="Times New Roman" w:hAnsi="Times New Roman" w:cs="Times New Roman"/>
        </w:rPr>
        <w:t xml:space="preserve">Please note that prior to the Inspectional Services Department’s (ISD) issuance of a building permit, all projects must demonstrate compliance with Article 37 and have obtained approval of the requisite submissions from the IGBC. </w:t>
      </w:r>
      <w:r w:rsidRPr="000E1B88">
        <w:rPr>
          <w:rFonts w:ascii="Times New Roman" w:hAnsi="Times New Roman" w:cs="Times New Roman"/>
          <w:color w:val="000000"/>
        </w:rPr>
        <w:t>In order to demonstrate compliance, the IGBC requires that you submit a Draft Green Building Report (</w:t>
      </w:r>
      <w:r w:rsidR="00187EDE" w:rsidRPr="000E1B88">
        <w:rPr>
          <w:rFonts w:ascii="Times New Roman" w:hAnsi="Times New Roman" w:cs="Times New Roman"/>
          <w:color w:val="000000"/>
        </w:rPr>
        <w:t>D</w:t>
      </w:r>
      <w:r w:rsidRPr="000E1B88">
        <w:rPr>
          <w:rFonts w:ascii="Times New Roman" w:hAnsi="Times New Roman" w:cs="Times New Roman"/>
          <w:color w:val="000000"/>
        </w:rPr>
        <w:t xml:space="preserve">raft Report). The </w:t>
      </w:r>
      <w:r w:rsidR="003A39FD" w:rsidRPr="000E1B88">
        <w:rPr>
          <w:rFonts w:ascii="Times New Roman" w:hAnsi="Times New Roman" w:cs="Times New Roman"/>
          <w:color w:val="000000"/>
        </w:rPr>
        <w:t>D</w:t>
      </w:r>
      <w:r w:rsidRPr="000E1B88">
        <w:rPr>
          <w:rFonts w:ascii="Times New Roman" w:hAnsi="Times New Roman" w:cs="Times New Roman"/>
          <w:color w:val="000000"/>
        </w:rPr>
        <w:t>raft Report shall provide a comprehensive narrative d</w:t>
      </w:r>
      <w:r w:rsidRPr="000E1B88">
        <w:rPr>
          <w:rFonts w:ascii="Times New Roman" w:hAnsi="Times New Roman" w:cs="Times New Roman"/>
          <w:color w:val="222222"/>
          <w:shd w:val="clear" w:color="auto" w:fill="FFFFFF"/>
        </w:rPr>
        <w:t>escribing in detail proposed strategies and paths that will be used to meet LEED prerequisites and achieve the selected credits</w:t>
      </w:r>
      <w:r w:rsidRPr="000E1B88">
        <w:rPr>
          <w:rFonts w:ascii="Times New Roman" w:hAnsi="Times New Roman" w:cs="Times New Roman"/>
          <w:color w:val="000000"/>
        </w:rPr>
        <w:t>.</w:t>
      </w:r>
    </w:p>
    <w:p w:rsidR="0074762F" w:rsidRPr="000E1B88" w:rsidRDefault="0074762F" w:rsidP="0074762F">
      <w:pPr>
        <w:pStyle w:val="Body1"/>
        <w:rPr>
          <w:rFonts w:ascii="Times New Roman" w:hAnsi="Times New Roman"/>
          <w:szCs w:val="22"/>
        </w:rPr>
      </w:pPr>
    </w:p>
    <w:p w:rsidR="0074762F" w:rsidRPr="000E1B88" w:rsidRDefault="0074762F" w:rsidP="0074762F">
      <w:pPr>
        <w:pStyle w:val="Body1"/>
        <w:rPr>
          <w:rFonts w:ascii="Times New Roman" w:hAnsi="Times New Roman"/>
          <w:szCs w:val="22"/>
        </w:rPr>
      </w:pPr>
      <w:r w:rsidRPr="000E1B88">
        <w:rPr>
          <w:rFonts w:ascii="Times New Roman" w:hAnsi="Times New Roman"/>
          <w:szCs w:val="22"/>
        </w:rPr>
        <w:t>Please follow up with your BRA Project Manager if you have questions.</w:t>
      </w:r>
    </w:p>
    <w:p w:rsidR="0074762F" w:rsidRPr="000E1B88" w:rsidRDefault="0074762F" w:rsidP="0074762F">
      <w:pPr>
        <w:pStyle w:val="CommentText"/>
        <w:rPr>
          <w:rFonts w:ascii="Times New Roman" w:hAnsi="Times New Roman" w:cs="Times New Roman"/>
          <w:sz w:val="22"/>
          <w:szCs w:val="22"/>
        </w:rPr>
      </w:pPr>
    </w:p>
    <w:p w:rsidR="0074762F" w:rsidRPr="000E1B88" w:rsidRDefault="0074762F" w:rsidP="0074762F">
      <w:pPr>
        <w:pStyle w:val="CommentText"/>
        <w:rPr>
          <w:rFonts w:ascii="Times New Roman" w:hAnsi="Times New Roman" w:cs="Times New Roman"/>
          <w:sz w:val="22"/>
          <w:szCs w:val="22"/>
        </w:rPr>
      </w:pPr>
    </w:p>
    <w:p w:rsidR="00CD57ED" w:rsidRPr="000E1B88" w:rsidRDefault="00CD57ED" w:rsidP="0074762F">
      <w:pPr>
        <w:pStyle w:val="CommentText"/>
        <w:rPr>
          <w:rFonts w:ascii="Times New Roman" w:hAnsi="Times New Roman" w:cs="Times New Roman"/>
          <w:sz w:val="22"/>
          <w:szCs w:val="22"/>
        </w:rPr>
      </w:pPr>
    </w:p>
    <w:p w:rsidR="0074762F" w:rsidRPr="000E1B88" w:rsidRDefault="0074762F" w:rsidP="0074762F">
      <w:pPr>
        <w:pStyle w:val="CommentText"/>
        <w:rPr>
          <w:rFonts w:ascii="Times New Roman" w:hAnsi="Times New Roman" w:cs="Times New Roman"/>
          <w:sz w:val="22"/>
          <w:szCs w:val="22"/>
        </w:rPr>
      </w:pPr>
      <w:r w:rsidRPr="000E1B88">
        <w:rPr>
          <w:rFonts w:ascii="Times New Roman" w:hAnsi="Times New Roman" w:cs="Times New Roman"/>
          <w:sz w:val="22"/>
          <w:szCs w:val="22"/>
        </w:rPr>
        <w:t>Interagency Green Building Committee</w:t>
      </w:r>
    </w:p>
    <w:sectPr w:rsidR="0074762F" w:rsidRPr="000E1B88" w:rsidSect="00CF6A7E">
      <w:headerReference w:type="default" r:id="rId7"/>
      <w:headerReference w:type="first" r:id="rId8"/>
      <w:footerReference w:type="first" r:id="rId9"/>
      <w:pgSz w:w="12240" w:h="15840"/>
      <w:pgMar w:top="1440" w:right="1152" w:bottom="864" w:left="1152" w:header="576" w:footer="57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6E7" w:rsidRDefault="003621BF">
      <w:r>
        <w:separator/>
      </w:r>
    </w:p>
  </w:endnote>
  <w:endnote w:type="continuationSeparator" w:id="0">
    <w:p w:rsidR="006B66E7" w:rsidRDefault="00362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432" w:rsidRDefault="00646E6F">
    <w:pPr>
      <w:pStyle w:val="Body1"/>
      <w:tabs>
        <w:tab w:val="left" w:pos="0"/>
        <w:tab w:val="center" w:pos="4680"/>
        <w:tab w:val="right" w:pos="9340"/>
        <w:tab w:val="right" w:pos="9360"/>
      </w:tabs>
      <w:rPr>
        <w:rFonts w:ascii="Palatino" w:hAnsi="Palatino" w:hint="eastAsia"/>
        <w:sz w:val="18"/>
      </w:rPr>
    </w:pPr>
  </w:p>
  <w:p w:rsidR="00041432" w:rsidRPr="00A241D8" w:rsidRDefault="003621BF">
    <w:pPr>
      <w:pStyle w:val="Body1"/>
      <w:tabs>
        <w:tab w:val="left" w:pos="0"/>
        <w:tab w:val="center" w:pos="4680"/>
        <w:tab w:val="right" w:pos="9340"/>
        <w:tab w:val="right" w:pos="9360"/>
      </w:tabs>
      <w:rPr>
        <w:rFonts w:ascii="Arial" w:hAnsi="Arial" w:cs="Arial"/>
        <w:sz w:val="18"/>
      </w:rPr>
    </w:pPr>
    <w:r w:rsidRPr="00A241D8">
      <w:rPr>
        <w:rFonts w:ascii="Arial" w:hAnsi="Arial" w:cs="Arial"/>
        <w:sz w:val="18"/>
      </w:rPr>
      <w:t>Boston Redevelopment Authority</w:t>
    </w:r>
    <w:r w:rsidRPr="00A241D8">
      <w:rPr>
        <w:rFonts w:ascii="Arial" w:hAnsi="Arial" w:cs="Arial"/>
        <w:sz w:val="18"/>
      </w:rPr>
      <w:tab/>
    </w:r>
    <w:r>
      <w:rPr>
        <w:rFonts w:ascii="Arial" w:hAnsi="Arial" w:cs="Arial"/>
        <w:sz w:val="18"/>
      </w:rPr>
      <w:tab/>
      <w:t>Office of Environmental, Energy and Open Spaces</w:t>
    </w:r>
  </w:p>
  <w:p w:rsidR="00041432" w:rsidRDefault="003621BF">
    <w:pPr>
      <w:pStyle w:val="Body1"/>
      <w:tabs>
        <w:tab w:val="left" w:pos="0"/>
        <w:tab w:val="center" w:pos="4680"/>
        <w:tab w:val="right" w:pos="9340"/>
        <w:tab w:val="right" w:pos="9360"/>
      </w:tabs>
      <w:rPr>
        <w:rFonts w:ascii="Times New Roman" w:eastAsia="Times New Roman" w:hAnsi="Times New Roman"/>
        <w:color w:val="auto"/>
        <w:sz w:val="20"/>
      </w:rPr>
    </w:pPr>
    <w:r>
      <w:rPr>
        <w:rFonts w:ascii="Arial" w:hAnsi="Arial" w:cs="Arial"/>
        <w:sz w:val="18"/>
      </w:rPr>
      <w:t>Brian P. Golden, Director</w:t>
    </w:r>
    <w:r>
      <w:rPr>
        <w:rFonts w:ascii="Arial" w:hAnsi="Arial" w:cs="Arial"/>
        <w:sz w:val="18"/>
      </w:rPr>
      <w:tab/>
    </w:r>
    <w:r>
      <w:rPr>
        <w:rFonts w:ascii="Arial" w:hAnsi="Arial" w:cs="Arial"/>
        <w:sz w:val="18"/>
      </w:rPr>
      <w:tab/>
      <w:t xml:space="preserve"> Austin Blackmon</w:t>
    </w:r>
    <w:r w:rsidRPr="00A241D8">
      <w:rPr>
        <w:rFonts w:ascii="Arial" w:hAnsi="Arial" w:cs="Arial"/>
        <w:sz w:val="18"/>
      </w:rPr>
      <w:t xml:space="preserve">, </w:t>
    </w:r>
    <w:r>
      <w:rPr>
        <w:rFonts w:ascii="Arial" w:hAnsi="Arial" w:cs="Arial"/>
        <w:sz w:val="18"/>
      </w:rPr>
      <w:t xml:space="preserve">Cabinet </w:t>
    </w:r>
    <w:r w:rsidRPr="00A241D8">
      <w:rPr>
        <w:rFonts w:ascii="Arial" w:hAnsi="Arial" w:cs="Arial"/>
        <w:sz w:val="18"/>
      </w:rPr>
      <w:t>Chief</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6E7" w:rsidRDefault="003621BF">
      <w:r>
        <w:separator/>
      </w:r>
    </w:p>
  </w:footnote>
  <w:footnote w:type="continuationSeparator" w:id="0">
    <w:p w:rsidR="006B66E7" w:rsidRDefault="003621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432" w:rsidRPr="000E1B88" w:rsidRDefault="003621BF" w:rsidP="00DD500B">
    <w:pPr>
      <w:pStyle w:val="Body1"/>
      <w:tabs>
        <w:tab w:val="left" w:pos="0"/>
        <w:tab w:val="center" w:pos="4680"/>
        <w:tab w:val="center" w:pos="4680"/>
        <w:tab w:val="right" w:pos="9340"/>
        <w:tab w:val="right" w:pos="9360"/>
      </w:tabs>
      <w:rPr>
        <w:rFonts w:ascii="Times New Roman" w:hAnsi="Times New Roman"/>
        <w:b/>
        <w:szCs w:val="22"/>
      </w:rPr>
    </w:pPr>
    <w:r w:rsidRPr="000E1B88">
      <w:rPr>
        <w:rFonts w:ascii="Times New Roman" w:hAnsi="Times New Roman"/>
        <w:b/>
        <w:szCs w:val="22"/>
      </w:rPr>
      <w:t>Article 37 Interagency Green Building Committee</w:t>
    </w:r>
  </w:p>
  <w:p w:rsidR="00041432" w:rsidRPr="00DD500B" w:rsidRDefault="005E1427" w:rsidP="00C94B6F">
    <w:r w:rsidRPr="00133033">
      <w:rPr>
        <w:rFonts w:ascii="Times New Roman" w:hAnsi="Times New Roman" w:cs="Times New Roman"/>
      </w:rPr>
      <w:t>Redevelopment of the Government Center Garage –WP-B1 Residential Building</w:t>
    </w:r>
    <w:r>
      <w:rPr>
        <w:rFonts w:ascii="Times New Roman" w:hAnsi="Times New Roman" w:cs="Times New Roman"/>
      </w:rPr>
      <w:t xml:space="preserve"> cont.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432" w:rsidRDefault="003621BF" w:rsidP="00A241D8">
    <w:pPr>
      <w:pStyle w:val="Body1"/>
      <w:tabs>
        <w:tab w:val="left" w:pos="0"/>
        <w:tab w:val="center" w:pos="4680"/>
        <w:tab w:val="center" w:pos="4680"/>
        <w:tab w:val="right" w:pos="9340"/>
        <w:tab w:val="right" w:pos="9360"/>
      </w:tabs>
      <w:jc w:val="center"/>
    </w:pPr>
    <w:r>
      <w:rPr>
        <w:rFonts w:ascii="Palatino" w:hAnsi="Palatino"/>
        <w:b/>
        <w:noProof/>
        <w:sz w:val="28"/>
      </w:rPr>
      <w:drawing>
        <wp:anchor distT="0" distB="0" distL="114300" distR="114300" simplePos="0" relativeHeight="251659264" behindDoc="1" locked="0" layoutInCell="1" allowOverlap="1" wp14:anchorId="45608665" wp14:editId="2310A31D">
          <wp:simplePos x="0" y="0"/>
          <wp:positionH relativeFrom="page">
            <wp:posOffset>3476625</wp:posOffset>
          </wp:positionH>
          <wp:positionV relativeFrom="page">
            <wp:posOffset>428625</wp:posOffset>
          </wp:positionV>
          <wp:extent cx="814705" cy="850900"/>
          <wp:effectExtent l="19050" t="0" r="4445" b="0"/>
          <wp:wrapNone/>
          <wp:docPr id="1" name="Picture 1"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1"/>
                  <pic:cNvPicPr>
                    <a:picLocks noChangeAspect="1"/>
                  </pic:cNvPicPr>
                </pic:nvPicPr>
                <pic:blipFill>
                  <a:blip r:embed="rId1"/>
                  <a:srcRect/>
                  <a:stretch>
                    <a:fillRect/>
                  </a:stretch>
                </pic:blipFill>
                <pic:spPr bwMode="auto">
                  <a:xfrm>
                    <a:off x="0" y="0"/>
                    <a:ext cx="814705" cy="850900"/>
                  </a:xfrm>
                  <a:prstGeom prst="rect">
                    <a:avLst/>
                  </a:prstGeom>
                  <a:noFill/>
                  <a:ln w="12700">
                    <a:miter lim="0"/>
                    <a:headEnd/>
                    <a:tailEnd/>
                  </a:ln>
                </pic:spPr>
              </pic:pic>
            </a:graphicData>
          </a:graphic>
        </wp:anchor>
      </w:drawing>
    </w:r>
  </w:p>
  <w:p w:rsidR="00041432" w:rsidRDefault="00646E6F" w:rsidP="00A241D8">
    <w:pPr>
      <w:pStyle w:val="Body1"/>
      <w:tabs>
        <w:tab w:val="left" w:pos="0"/>
        <w:tab w:val="center" w:pos="4680"/>
        <w:tab w:val="center" w:pos="4680"/>
        <w:tab w:val="right" w:pos="9340"/>
        <w:tab w:val="right" w:pos="9360"/>
      </w:tabs>
      <w:jc w:val="center"/>
    </w:pPr>
  </w:p>
  <w:p w:rsidR="00041432" w:rsidRDefault="00646E6F" w:rsidP="00A241D8">
    <w:pPr>
      <w:pStyle w:val="Body1"/>
      <w:tabs>
        <w:tab w:val="left" w:pos="0"/>
        <w:tab w:val="center" w:pos="4680"/>
        <w:tab w:val="center" w:pos="4680"/>
        <w:tab w:val="right" w:pos="9340"/>
        <w:tab w:val="right" w:pos="9360"/>
      </w:tabs>
      <w:jc w:val="center"/>
    </w:pPr>
  </w:p>
  <w:p w:rsidR="00041432" w:rsidRDefault="00646E6F" w:rsidP="00A241D8">
    <w:pPr>
      <w:pStyle w:val="Body1"/>
      <w:tabs>
        <w:tab w:val="left" w:pos="0"/>
        <w:tab w:val="center" w:pos="4680"/>
        <w:tab w:val="center" w:pos="4680"/>
        <w:tab w:val="right" w:pos="9340"/>
        <w:tab w:val="right" w:pos="9360"/>
      </w:tabs>
      <w:jc w:val="center"/>
    </w:pPr>
  </w:p>
  <w:p w:rsidR="00041432" w:rsidRDefault="00646E6F" w:rsidP="00A241D8">
    <w:pPr>
      <w:pStyle w:val="Body1"/>
      <w:tabs>
        <w:tab w:val="left" w:pos="0"/>
        <w:tab w:val="center" w:pos="4680"/>
        <w:tab w:val="center" w:pos="4680"/>
        <w:tab w:val="right" w:pos="9340"/>
        <w:tab w:val="right" w:pos="9360"/>
      </w:tabs>
      <w:jc w:val="center"/>
      <w:rPr>
        <w:rFonts w:ascii="Palatino" w:hAnsi="Arial Unicode MS"/>
        <w:sz w:val="20"/>
      </w:rPr>
    </w:pPr>
  </w:p>
  <w:p w:rsidR="00041432" w:rsidRDefault="00646E6F" w:rsidP="00A241D8">
    <w:pPr>
      <w:pStyle w:val="Body1"/>
      <w:tabs>
        <w:tab w:val="left" w:pos="0"/>
        <w:tab w:val="center" w:pos="4680"/>
        <w:tab w:val="center" w:pos="4680"/>
        <w:tab w:val="right" w:pos="9340"/>
        <w:tab w:val="right" w:pos="9360"/>
      </w:tabs>
      <w:jc w:val="center"/>
      <w:rPr>
        <w:rFonts w:ascii="Palatino" w:hAnsi="Arial Unicode MS"/>
        <w:sz w:val="20"/>
      </w:rPr>
    </w:pPr>
  </w:p>
  <w:p w:rsidR="00041432" w:rsidRDefault="003621BF" w:rsidP="00A241D8">
    <w:pPr>
      <w:pStyle w:val="Body1"/>
      <w:tabs>
        <w:tab w:val="left" w:pos="0"/>
        <w:tab w:val="center" w:pos="4680"/>
        <w:tab w:val="center" w:pos="4680"/>
        <w:tab w:val="right" w:pos="9340"/>
        <w:tab w:val="right" w:pos="9360"/>
      </w:tabs>
      <w:jc w:val="center"/>
      <w:rPr>
        <w:rFonts w:ascii="Palatino" w:hAnsi="Arial Unicode MS"/>
        <w:sz w:val="20"/>
      </w:rPr>
    </w:pPr>
    <w:r>
      <w:rPr>
        <w:rFonts w:ascii="Palatino" w:hAnsi="Arial Unicode MS"/>
        <w:sz w:val="20"/>
      </w:rPr>
      <w:t>Martin J. Walsh</w:t>
    </w:r>
  </w:p>
  <w:p w:rsidR="00041432" w:rsidRDefault="003621BF" w:rsidP="00A241D8">
    <w:pPr>
      <w:pStyle w:val="Body1"/>
      <w:tabs>
        <w:tab w:val="left" w:pos="0"/>
        <w:tab w:val="center" w:pos="4680"/>
        <w:tab w:val="center" w:pos="4680"/>
        <w:tab w:val="right" w:pos="9340"/>
        <w:tab w:val="right" w:pos="9360"/>
      </w:tabs>
      <w:jc w:val="center"/>
      <w:rPr>
        <w:sz w:val="24"/>
      </w:rPr>
    </w:pPr>
    <w:r>
      <w:rPr>
        <w:rFonts w:ascii="Palatino" w:hAnsi="Arial Unicode MS"/>
        <w:sz w:val="20"/>
      </w:rPr>
      <w:t>Mayor</w:t>
    </w:r>
  </w:p>
  <w:p w:rsidR="00041432" w:rsidRDefault="00646E6F" w:rsidP="00A241D8">
    <w:pPr>
      <w:pStyle w:val="Body1"/>
      <w:tabs>
        <w:tab w:val="left" w:pos="0"/>
        <w:tab w:val="center" w:pos="4680"/>
        <w:tab w:val="center" w:pos="4680"/>
        <w:tab w:val="right" w:pos="9340"/>
        <w:tab w:val="right" w:pos="9360"/>
      </w:tabs>
      <w:jc w:val="center"/>
      <w:rPr>
        <w:rFonts w:ascii="Palatino" w:hAnsi="Palatino" w:hint="eastAsia"/>
        <w:b/>
        <w:sz w:val="28"/>
      </w:rPr>
    </w:pPr>
  </w:p>
  <w:p w:rsidR="00041432" w:rsidRDefault="003621BF" w:rsidP="00A241D8">
    <w:pPr>
      <w:pStyle w:val="Body1"/>
      <w:tabs>
        <w:tab w:val="left" w:pos="0"/>
        <w:tab w:val="center" w:pos="4680"/>
        <w:tab w:val="center" w:pos="4680"/>
        <w:tab w:val="right" w:pos="9340"/>
        <w:tab w:val="right" w:pos="9360"/>
      </w:tabs>
      <w:jc w:val="center"/>
      <w:rPr>
        <w:rFonts w:ascii="Palatino" w:hAnsi="Palatino" w:hint="eastAsia"/>
        <w:b/>
        <w:sz w:val="28"/>
      </w:rPr>
    </w:pPr>
    <w:r>
      <w:rPr>
        <w:rFonts w:ascii="Palatino" w:hAnsi="Arial Unicode MS"/>
        <w:b/>
        <w:sz w:val="28"/>
      </w:rPr>
      <w:t>Article 37 Interagency Green Building Committee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94EE873"/>
    <w:lvl w:ilvl="0">
      <w:start w:val="1"/>
      <w:numFmt w:val="bullet"/>
      <w:pStyle w:val="List0"/>
      <w:lvlText w:val="•"/>
      <w:lvlJc w:val="left"/>
      <w:pPr>
        <w:tabs>
          <w:tab w:val="num" w:pos="393"/>
        </w:tabs>
        <w:ind w:left="393" w:firstLine="360"/>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14:textOutline w14:w="0" w14:cap="rnd" w14:cmpd="sng" w14:algn="ctr">
          <w14:noFill/>
          <w14:prstDash w14:val="solid"/>
          <w14:bevel/>
        </w14:textOutline>
      </w:rPr>
    </w:lvl>
    <w:lvl w:ilvl="1">
      <w:start w:val="1"/>
      <w:numFmt w:val="bullet"/>
      <w:lvlText w:val="o"/>
      <w:lvlJc w:val="left"/>
      <w:pPr>
        <w:tabs>
          <w:tab w:val="num" w:pos="360"/>
        </w:tabs>
        <w:ind w:left="360" w:firstLine="1080"/>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14:textOutline w14:w="0" w14:cap="rnd" w14:cmpd="sng" w14:algn="ctr">
          <w14:noFill/>
          <w14:prstDash w14:val="solid"/>
          <w14:bevel/>
        </w14:textOutline>
      </w:rPr>
    </w:lvl>
    <w:lvl w:ilvl="2">
      <w:start w:val="1"/>
      <w:numFmt w:val="bullet"/>
      <w:lvlText w:val="•"/>
      <w:lvlJc w:val="left"/>
      <w:pPr>
        <w:tabs>
          <w:tab w:val="num" w:pos="360"/>
        </w:tabs>
        <w:ind w:left="360" w:firstLine="1800"/>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14:textOutline w14:w="0" w14:cap="rnd" w14:cmpd="sng" w14:algn="ctr">
          <w14:noFill/>
          <w14:prstDash w14:val="solid"/>
          <w14:bevel/>
        </w14:textOutline>
      </w:rPr>
    </w:lvl>
    <w:lvl w:ilvl="3">
      <w:start w:val="1"/>
      <w:numFmt w:val="bullet"/>
      <w:lvlText w:val="•"/>
      <w:lvlJc w:val="left"/>
      <w:pPr>
        <w:tabs>
          <w:tab w:val="num" w:pos="360"/>
        </w:tabs>
        <w:ind w:left="360" w:firstLine="2520"/>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14:textOutline w14:w="0" w14:cap="rnd" w14:cmpd="sng" w14:algn="ctr">
          <w14:noFill/>
          <w14:prstDash w14:val="solid"/>
          <w14:bevel/>
        </w14:textOutline>
      </w:rPr>
    </w:lvl>
    <w:lvl w:ilvl="4">
      <w:start w:val="1"/>
      <w:numFmt w:val="bullet"/>
      <w:lvlText w:val="o"/>
      <w:lvlJc w:val="left"/>
      <w:pPr>
        <w:tabs>
          <w:tab w:val="num" w:pos="360"/>
        </w:tabs>
        <w:ind w:left="360" w:firstLine="3240"/>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14:textOutline w14:w="0" w14:cap="rnd" w14:cmpd="sng" w14:algn="ctr">
          <w14:noFill/>
          <w14:prstDash w14:val="solid"/>
          <w14:bevel/>
        </w14:textOutline>
      </w:rPr>
    </w:lvl>
    <w:lvl w:ilvl="5">
      <w:start w:val="1"/>
      <w:numFmt w:val="bullet"/>
      <w:lvlText w:val="•"/>
      <w:lvlJc w:val="left"/>
      <w:pPr>
        <w:tabs>
          <w:tab w:val="num" w:pos="360"/>
        </w:tabs>
        <w:ind w:left="360" w:firstLine="3960"/>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14:textOutline w14:w="0" w14:cap="rnd" w14:cmpd="sng" w14:algn="ctr">
          <w14:noFill/>
          <w14:prstDash w14:val="solid"/>
          <w14:bevel/>
        </w14:textOutline>
      </w:rPr>
    </w:lvl>
    <w:lvl w:ilvl="6">
      <w:start w:val="1"/>
      <w:numFmt w:val="bullet"/>
      <w:lvlText w:val="•"/>
      <w:lvlJc w:val="left"/>
      <w:pPr>
        <w:tabs>
          <w:tab w:val="num" w:pos="360"/>
        </w:tabs>
        <w:ind w:left="360" w:firstLine="4680"/>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14:textOutline w14:w="0" w14:cap="rnd" w14:cmpd="sng" w14:algn="ctr">
          <w14:noFill/>
          <w14:prstDash w14:val="solid"/>
          <w14:bevel/>
        </w14:textOutline>
      </w:rPr>
    </w:lvl>
    <w:lvl w:ilvl="7">
      <w:start w:val="1"/>
      <w:numFmt w:val="bullet"/>
      <w:lvlText w:val="o"/>
      <w:lvlJc w:val="left"/>
      <w:pPr>
        <w:tabs>
          <w:tab w:val="num" w:pos="360"/>
        </w:tabs>
        <w:ind w:left="360" w:firstLine="5400"/>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14:textOutline w14:w="0" w14:cap="rnd" w14:cmpd="sng" w14:algn="ctr">
          <w14:noFill/>
          <w14:prstDash w14:val="solid"/>
          <w14:bevel/>
        </w14:textOutline>
      </w:rPr>
    </w:lvl>
    <w:lvl w:ilvl="8">
      <w:start w:val="1"/>
      <w:numFmt w:val="bullet"/>
      <w:lvlText w:val="•"/>
      <w:lvlJc w:val="left"/>
      <w:pPr>
        <w:tabs>
          <w:tab w:val="num" w:pos="360"/>
        </w:tabs>
        <w:ind w:left="360" w:firstLine="6120"/>
      </w:pPr>
      <w:rPr>
        <w:rFonts w:ascii="Helvetica" w:eastAsia="Arial Unicode MS" w:hAnsi="Helvetica" w:hint="default"/>
        <w:b w:val="0"/>
        <w:i w:val="0"/>
        <w:caps w:val="0"/>
        <w:smallCaps w:val="0"/>
        <w:strike w:val="0"/>
        <w:dstrike w:val="0"/>
        <w:color w:val="000000"/>
        <w:kern w:val="0"/>
        <w:position w:val="0"/>
        <w:sz w:val="22"/>
        <w:u w:val="none" w:color="000000"/>
        <w:vertAlign w:val="baseline"/>
        <w:rtl w:val="0"/>
        <w:em w:val="none"/>
        <w14:textOutline w14:w="0" w14:cap="rnd" w14:cmpd="sng" w14:algn="ctr">
          <w14:noFill/>
          <w14:prstDash w14:val="solid"/>
          <w14:bevel/>
        </w14:textOutline>
      </w:rPr>
    </w:lvl>
  </w:abstractNum>
  <w:abstractNum w:abstractNumId="1" w15:restartNumberingAfterBreak="0">
    <w:nsid w:val="34462267"/>
    <w:multiLevelType w:val="hybridMultilevel"/>
    <w:tmpl w:val="F4A4C3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E03105A"/>
    <w:multiLevelType w:val="hybridMultilevel"/>
    <w:tmpl w:val="EE42F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62F"/>
    <w:rsid w:val="00003A83"/>
    <w:rsid w:val="000772C1"/>
    <w:rsid w:val="000A7624"/>
    <w:rsid w:val="000E1B88"/>
    <w:rsid w:val="00103C6E"/>
    <w:rsid w:val="00110E57"/>
    <w:rsid w:val="00151EDA"/>
    <w:rsid w:val="00163CB9"/>
    <w:rsid w:val="00187EDE"/>
    <w:rsid w:val="002073AB"/>
    <w:rsid w:val="00224466"/>
    <w:rsid w:val="00291B4D"/>
    <w:rsid w:val="003621BF"/>
    <w:rsid w:val="003A39FD"/>
    <w:rsid w:val="003D210A"/>
    <w:rsid w:val="003F5D4A"/>
    <w:rsid w:val="00415410"/>
    <w:rsid w:val="00460F4C"/>
    <w:rsid w:val="004A1E8B"/>
    <w:rsid w:val="004F5E9F"/>
    <w:rsid w:val="0050217C"/>
    <w:rsid w:val="00551BD1"/>
    <w:rsid w:val="00552F0A"/>
    <w:rsid w:val="005E1427"/>
    <w:rsid w:val="006230A4"/>
    <w:rsid w:val="00636FB1"/>
    <w:rsid w:val="00646E6F"/>
    <w:rsid w:val="00671548"/>
    <w:rsid w:val="006A6242"/>
    <w:rsid w:val="006B66E7"/>
    <w:rsid w:val="006C2A5D"/>
    <w:rsid w:val="006D7D61"/>
    <w:rsid w:val="0074762F"/>
    <w:rsid w:val="00771D3B"/>
    <w:rsid w:val="008752B3"/>
    <w:rsid w:val="008A1D72"/>
    <w:rsid w:val="0091552C"/>
    <w:rsid w:val="00927B91"/>
    <w:rsid w:val="0094598A"/>
    <w:rsid w:val="00A90013"/>
    <w:rsid w:val="00B25897"/>
    <w:rsid w:val="00B26147"/>
    <w:rsid w:val="00B40DEE"/>
    <w:rsid w:val="00C156AC"/>
    <w:rsid w:val="00C26CA4"/>
    <w:rsid w:val="00C420F4"/>
    <w:rsid w:val="00C765E6"/>
    <w:rsid w:val="00CB688B"/>
    <w:rsid w:val="00CD57ED"/>
    <w:rsid w:val="00CE2BD9"/>
    <w:rsid w:val="00DF53FE"/>
    <w:rsid w:val="00E16A11"/>
    <w:rsid w:val="00EB3290"/>
    <w:rsid w:val="00F32D60"/>
    <w:rsid w:val="00F527E3"/>
    <w:rsid w:val="00F728CA"/>
    <w:rsid w:val="00F946C4"/>
    <w:rsid w:val="00FB1921"/>
    <w:rsid w:val="00FF0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AF083C-E0E6-4ED0-A7D1-6969009F9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Helvetica" w:eastAsia="Times New Roman" w:hAnsi="Helvetica" w:cs="Helvetica"/>
        <w:sz w:val="22"/>
        <w:szCs w:val="22"/>
        <w:lang w:val="en-US" w:eastAsia="en-US" w:bidi="ar-SA"/>
      </w:rPr>
    </w:rPrDefault>
    <w:pPrDefault>
      <w:pPr>
        <w:ind w:left="720" w:hanging="720"/>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74762F"/>
    <w:pPr>
      <w:autoSpaceDE w:val="0"/>
      <w:autoSpaceDN w:val="0"/>
      <w:adjustRightInd w:val="0"/>
      <w:ind w:left="0" w:firstLine="0"/>
    </w:pPr>
    <w:rPr>
      <w:rFonts w:ascii="Arial" w:eastAsia="Arial Unicode MS" w:hAnsi="Arial" w:cs="Arial"/>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74762F"/>
    <w:pPr>
      <w:ind w:left="0" w:firstLine="0"/>
      <w:outlineLvl w:val="0"/>
    </w:pPr>
    <w:rPr>
      <w:rFonts w:eastAsia="Arial Unicode MS" w:cs="Times New Roman"/>
      <w:color w:val="000000"/>
      <w:szCs w:val="20"/>
      <w:u w:color="000000"/>
    </w:rPr>
  </w:style>
  <w:style w:type="paragraph" w:customStyle="1" w:styleId="List0">
    <w:name w:val="List 0"/>
    <w:basedOn w:val="Normal"/>
    <w:semiHidden/>
    <w:rsid w:val="0074762F"/>
    <w:pPr>
      <w:numPr>
        <w:numId w:val="1"/>
      </w:numPr>
      <w:autoSpaceDE/>
      <w:autoSpaceDN/>
      <w:adjustRightInd/>
    </w:pPr>
    <w:rPr>
      <w:rFonts w:ascii="Times New Roman" w:eastAsia="Times New Roman" w:hAnsi="Times New Roman" w:cs="Times New Roman"/>
      <w:sz w:val="20"/>
      <w:szCs w:val="20"/>
    </w:rPr>
  </w:style>
  <w:style w:type="paragraph" w:styleId="Header">
    <w:name w:val="header"/>
    <w:basedOn w:val="Normal"/>
    <w:link w:val="HeaderChar"/>
    <w:uiPriority w:val="99"/>
    <w:rsid w:val="0074762F"/>
    <w:pPr>
      <w:tabs>
        <w:tab w:val="center" w:pos="4680"/>
        <w:tab w:val="right" w:pos="9360"/>
      </w:tabs>
    </w:pPr>
  </w:style>
  <w:style w:type="character" w:customStyle="1" w:styleId="HeaderChar">
    <w:name w:val="Header Char"/>
    <w:basedOn w:val="DefaultParagraphFont"/>
    <w:link w:val="Header"/>
    <w:uiPriority w:val="99"/>
    <w:rsid w:val="0074762F"/>
    <w:rPr>
      <w:rFonts w:ascii="Arial" w:eastAsia="Arial Unicode MS" w:hAnsi="Arial" w:cs="Arial"/>
      <w:u w:color="000000"/>
    </w:rPr>
  </w:style>
  <w:style w:type="paragraph" w:styleId="ListParagraph">
    <w:name w:val="List Paragraph"/>
    <w:basedOn w:val="Normal"/>
    <w:uiPriority w:val="34"/>
    <w:qFormat/>
    <w:rsid w:val="0074762F"/>
  </w:style>
  <w:style w:type="paragraph" w:customStyle="1" w:styleId="Default">
    <w:name w:val="Default"/>
    <w:rsid w:val="0074762F"/>
    <w:pPr>
      <w:autoSpaceDE w:val="0"/>
      <w:autoSpaceDN w:val="0"/>
      <w:adjustRightInd w:val="0"/>
      <w:ind w:left="0" w:firstLine="0"/>
    </w:pPr>
    <w:rPr>
      <w:rFonts w:ascii="Calibri" w:hAnsi="Calibri" w:cs="Calibri"/>
      <w:color w:val="000000"/>
      <w:sz w:val="24"/>
      <w:szCs w:val="24"/>
    </w:rPr>
  </w:style>
  <w:style w:type="paragraph" w:styleId="CommentText">
    <w:name w:val="annotation text"/>
    <w:basedOn w:val="Normal"/>
    <w:link w:val="CommentTextChar"/>
    <w:uiPriority w:val="99"/>
    <w:unhideWhenUsed/>
    <w:rsid w:val="0074762F"/>
    <w:rPr>
      <w:rFonts w:ascii="Helvetica" w:eastAsia="Times New Roman" w:hAnsi="Helvetica" w:cs="Helvetica"/>
      <w:sz w:val="20"/>
      <w:szCs w:val="20"/>
    </w:rPr>
  </w:style>
  <w:style w:type="character" w:customStyle="1" w:styleId="CommentTextChar">
    <w:name w:val="Comment Text Char"/>
    <w:basedOn w:val="DefaultParagraphFont"/>
    <w:link w:val="CommentText"/>
    <w:uiPriority w:val="99"/>
    <w:rsid w:val="0074762F"/>
    <w:rPr>
      <w:sz w:val="20"/>
      <w:szCs w:val="20"/>
      <w:u w:color="000000"/>
    </w:rPr>
  </w:style>
  <w:style w:type="paragraph" w:styleId="BalloonText">
    <w:name w:val="Balloon Text"/>
    <w:basedOn w:val="Normal"/>
    <w:link w:val="BalloonTextChar"/>
    <w:uiPriority w:val="99"/>
    <w:semiHidden/>
    <w:unhideWhenUsed/>
    <w:rsid w:val="00163CB9"/>
    <w:rPr>
      <w:rFonts w:ascii="Tahoma" w:hAnsi="Tahoma" w:cs="Tahoma"/>
      <w:sz w:val="16"/>
      <w:szCs w:val="16"/>
    </w:rPr>
  </w:style>
  <w:style w:type="character" w:customStyle="1" w:styleId="BalloonTextChar">
    <w:name w:val="Balloon Text Char"/>
    <w:basedOn w:val="DefaultParagraphFont"/>
    <w:link w:val="BalloonText"/>
    <w:uiPriority w:val="99"/>
    <w:semiHidden/>
    <w:rsid w:val="00163CB9"/>
    <w:rPr>
      <w:rFonts w:ascii="Tahoma" w:eastAsia="Arial Unicode MS" w:hAnsi="Tahoma" w:cs="Tahoma"/>
      <w:sz w:val="16"/>
      <w:szCs w:val="16"/>
      <w:u w:color="000000"/>
    </w:rPr>
  </w:style>
  <w:style w:type="paragraph" w:styleId="Footer">
    <w:name w:val="footer"/>
    <w:basedOn w:val="Normal"/>
    <w:link w:val="FooterChar"/>
    <w:uiPriority w:val="99"/>
    <w:unhideWhenUsed/>
    <w:rsid w:val="005E1427"/>
    <w:pPr>
      <w:tabs>
        <w:tab w:val="center" w:pos="4680"/>
        <w:tab w:val="right" w:pos="9360"/>
      </w:tabs>
    </w:pPr>
  </w:style>
  <w:style w:type="character" w:customStyle="1" w:styleId="FooterChar">
    <w:name w:val="Footer Char"/>
    <w:basedOn w:val="DefaultParagraphFont"/>
    <w:link w:val="Footer"/>
    <w:uiPriority w:val="99"/>
    <w:rsid w:val="005E1427"/>
    <w:rPr>
      <w:rFonts w:ascii="Arial" w:eastAsia="Arial Unicode MS" w:hAnsi="Arial" w:cs="Arial"/>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459</Words>
  <Characters>2619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City of Boston</Company>
  <LinksUpToDate>false</LinksUpToDate>
  <CharactersWithSpaces>3072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Zlody, Maura</dc:creator>
  <cp:lastModifiedBy>McGuire, Edward</cp:lastModifiedBy>
  <cp:revision>2</cp:revision>
  <cp:lastPrinted>2015-10-29T18:58:00Z</cp:lastPrinted>
  <dcterms:created xsi:type="dcterms:W3CDTF">2015-12-22T14:08:00Z</dcterms:created>
  <dcterms:modified xsi:type="dcterms:W3CDTF">2015-12-22T14:08:00Z</dcterms:modified>
</cp:coreProperties>
</file>